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12C3B" w14:textId="77777777" w:rsidR="00590D66" w:rsidRPr="00170FB3" w:rsidRDefault="00590D66" w:rsidP="00590D66">
      <w:pPr>
        <w:jc w:val="left"/>
        <w:rPr>
          <w:rFonts w:ascii="ＭＳ ゴシック" w:eastAsia="ＭＳ ゴシック" w:hAnsi="ＭＳ ゴシック"/>
          <w:sz w:val="24"/>
          <w:szCs w:val="28"/>
        </w:rPr>
      </w:pPr>
      <w:r>
        <w:rPr>
          <w:rFonts w:ascii="ＭＳ ゴシック" w:eastAsia="ＭＳ ゴシック" w:hAnsi="ＭＳ ゴシック" w:hint="eastAsia"/>
          <w:sz w:val="24"/>
          <w:szCs w:val="28"/>
        </w:rPr>
        <w:t>・</w:t>
      </w:r>
      <w:r w:rsidRPr="00111B50">
        <w:rPr>
          <w:rFonts w:ascii="ＭＳ ゴシック" w:eastAsia="ＭＳ ゴシック" w:hAnsi="ＭＳ ゴシック" w:hint="eastAsia"/>
          <w:sz w:val="24"/>
          <w:szCs w:val="28"/>
        </w:rPr>
        <w:t>伐採</w:t>
      </w:r>
      <w:r>
        <w:rPr>
          <w:rFonts w:ascii="ＭＳ ゴシック" w:eastAsia="ＭＳ ゴシック" w:hAnsi="ＭＳ ゴシック" w:hint="eastAsia"/>
          <w:sz w:val="24"/>
          <w:szCs w:val="28"/>
        </w:rPr>
        <w:t>及び集材に係る</w:t>
      </w:r>
      <w:r w:rsidRPr="00111B50">
        <w:rPr>
          <w:rFonts w:ascii="ＭＳ ゴシック" w:eastAsia="ＭＳ ゴシック" w:hAnsi="ＭＳ ゴシック" w:hint="eastAsia"/>
          <w:sz w:val="24"/>
          <w:szCs w:val="28"/>
        </w:rPr>
        <w:t>チェックリスト</w:t>
      </w:r>
    </w:p>
    <w:p w14:paraId="7BCAA82D" w14:textId="47FC17F8" w:rsidR="00590D66" w:rsidRPr="00606030" w:rsidRDefault="00590D66" w:rsidP="00590D66">
      <w:pPr>
        <w:spacing w:line="360" w:lineRule="auto"/>
        <w:jc w:val="right"/>
        <w:rPr>
          <w:rFonts w:ascii="ＭＳ ゴシック" w:eastAsia="ＭＳ ゴシック" w:hAnsi="ＭＳ ゴシック"/>
          <w:sz w:val="24"/>
          <w:szCs w:val="28"/>
        </w:rPr>
      </w:pPr>
      <w:r w:rsidRPr="00606030">
        <w:rPr>
          <w:rFonts w:hint="eastAsia"/>
          <w:u w:val="single"/>
        </w:rPr>
        <w:t xml:space="preserve">　</w:t>
      </w:r>
      <w:r w:rsidR="007A7011">
        <w:rPr>
          <w:rFonts w:hint="eastAsia"/>
          <w:u w:val="single"/>
        </w:rPr>
        <w:t>令和</w:t>
      </w:r>
      <w:r w:rsidR="00E969FE">
        <w:rPr>
          <w:rFonts w:hint="eastAsia"/>
          <w:u w:val="single"/>
        </w:rPr>
        <w:t xml:space="preserve">　</w:t>
      </w:r>
      <w:r w:rsidR="00AF106E">
        <w:rPr>
          <w:rFonts w:hint="eastAsia"/>
          <w:u w:val="single"/>
        </w:rPr>
        <w:t xml:space="preserve">　　</w:t>
      </w:r>
      <w:r w:rsidR="007A7011">
        <w:rPr>
          <w:rFonts w:hint="eastAsia"/>
          <w:u w:val="single"/>
        </w:rPr>
        <w:t>年</w:t>
      </w:r>
      <w:r w:rsidR="00E969FE">
        <w:rPr>
          <w:rFonts w:hint="eastAsia"/>
          <w:u w:val="single"/>
        </w:rPr>
        <w:t xml:space="preserve">　</w:t>
      </w:r>
      <w:r w:rsidR="00AF106E">
        <w:rPr>
          <w:rFonts w:hint="eastAsia"/>
          <w:u w:val="single"/>
        </w:rPr>
        <w:t xml:space="preserve">　　</w:t>
      </w:r>
      <w:r w:rsidR="007A7011">
        <w:rPr>
          <w:rFonts w:hint="eastAsia"/>
          <w:u w:val="single"/>
        </w:rPr>
        <w:t>月</w:t>
      </w:r>
      <w:r w:rsidR="00E969FE">
        <w:rPr>
          <w:rFonts w:hint="eastAsia"/>
          <w:u w:val="single"/>
        </w:rPr>
        <w:t xml:space="preserve">　</w:t>
      </w:r>
      <w:r w:rsidR="00AF106E">
        <w:rPr>
          <w:rFonts w:hint="eastAsia"/>
          <w:u w:val="single"/>
        </w:rPr>
        <w:t xml:space="preserve">　　</w:t>
      </w:r>
      <w:r w:rsidRPr="00606030">
        <w:rPr>
          <w:rFonts w:hint="eastAsia"/>
          <w:u w:val="single"/>
        </w:rPr>
        <w:t>日</w:t>
      </w:r>
    </w:p>
    <w:p w14:paraId="28A2B0E6" w14:textId="73819EEC" w:rsidR="00590D66" w:rsidRPr="00606030" w:rsidRDefault="00590D66" w:rsidP="00590D66">
      <w:pPr>
        <w:spacing w:line="360" w:lineRule="auto"/>
        <w:ind w:firstLineChars="100" w:firstLine="210"/>
        <w:rPr>
          <w:u w:val="single"/>
        </w:rPr>
      </w:pPr>
      <w:r w:rsidRPr="00606030">
        <w:rPr>
          <w:rFonts w:hint="eastAsia"/>
          <w:u w:val="single"/>
        </w:rPr>
        <w:t xml:space="preserve">伐採する者：　</w:t>
      </w:r>
      <w:r w:rsidR="00AF106E">
        <w:rPr>
          <w:rFonts w:hint="eastAsia"/>
          <w:u w:val="single"/>
        </w:rPr>
        <w:t xml:space="preserve">　　　　　　　　　　　　　　　　　　　　</w:t>
      </w:r>
      <w:r w:rsidR="00E969FE">
        <w:rPr>
          <w:rFonts w:hint="eastAsia"/>
          <w:u w:val="single"/>
        </w:rPr>
        <w:t xml:space="preserve">　　　　　　</w:t>
      </w:r>
      <w:r w:rsidR="00AF106E">
        <w:rPr>
          <w:rFonts w:hint="eastAsia"/>
          <w:u w:val="single"/>
        </w:rPr>
        <w:t xml:space="preserve">　　　</w:t>
      </w:r>
      <w:r w:rsidRPr="00606030">
        <w:rPr>
          <w:rFonts w:hint="eastAsia"/>
          <w:u w:val="single"/>
        </w:rPr>
        <w:t xml:space="preserve">　　</w:t>
      </w:r>
    </w:p>
    <w:p w14:paraId="0469266C" w14:textId="6B37A675" w:rsidR="00590D66" w:rsidRPr="005F5421" w:rsidRDefault="00590D66" w:rsidP="00590D66">
      <w:pPr>
        <w:spacing w:line="360" w:lineRule="auto"/>
        <w:ind w:firstLineChars="100" w:firstLine="210"/>
        <w:rPr>
          <w:u w:val="single"/>
        </w:rPr>
      </w:pPr>
      <w:r w:rsidRPr="00606030">
        <w:rPr>
          <w:rFonts w:hint="eastAsia"/>
          <w:u w:val="single"/>
        </w:rPr>
        <w:t xml:space="preserve">森林の所在場所：　</w:t>
      </w:r>
      <w:r w:rsidR="00AF106E">
        <w:rPr>
          <w:rFonts w:hint="eastAsia"/>
          <w:u w:val="single"/>
        </w:rPr>
        <w:t xml:space="preserve">　　　　　　　　　　　　　　　　　　　　</w:t>
      </w:r>
      <w:r w:rsidRPr="00606030">
        <w:rPr>
          <w:rFonts w:hint="eastAsia"/>
          <w:u w:val="single"/>
        </w:rPr>
        <w:t xml:space="preserve">　　</w:t>
      </w:r>
      <w:r w:rsidR="00E969FE">
        <w:rPr>
          <w:rFonts w:hint="eastAsia"/>
          <w:u w:val="single"/>
        </w:rPr>
        <w:t xml:space="preserve">　　　　　　</w:t>
      </w:r>
      <w:r w:rsidRPr="00606030">
        <w:rPr>
          <w:rFonts w:hint="eastAsia"/>
          <w:u w:val="single"/>
        </w:rPr>
        <w:t xml:space="preserve">　</w:t>
      </w:r>
    </w:p>
    <w:tbl>
      <w:tblPr>
        <w:tblStyle w:val="a3"/>
        <w:tblW w:w="10064" w:type="dxa"/>
        <w:tblInd w:w="279" w:type="dxa"/>
        <w:tblLook w:val="04A0" w:firstRow="1" w:lastRow="0" w:firstColumn="1" w:lastColumn="0" w:noHBand="0" w:noVBand="1"/>
      </w:tblPr>
      <w:tblGrid>
        <w:gridCol w:w="9214"/>
        <w:gridCol w:w="850"/>
      </w:tblGrid>
      <w:tr w:rsidR="00590D66" w:rsidRPr="007F791D" w14:paraId="2640A194" w14:textId="77777777" w:rsidTr="00590D66">
        <w:trPr>
          <w:trHeight w:val="444"/>
        </w:trPr>
        <w:tc>
          <w:tcPr>
            <w:tcW w:w="9214" w:type="dxa"/>
            <w:tcBorders>
              <w:right w:val="single" w:sz="4" w:space="0" w:color="auto"/>
            </w:tcBorders>
            <w:vAlign w:val="center"/>
          </w:tcPr>
          <w:p w14:paraId="50F3BFEB" w14:textId="77777777" w:rsidR="00590D66" w:rsidRPr="007F791D" w:rsidRDefault="00590D66" w:rsidP="00A242DD">
            <w:pPr>
              <w:jc w:val="center"/>
              <w:rPr>
                <w:rFonts w:hAnsi="ＭＳ 明朝"/>
                <w:sz w:val="22"/>
                <w:szCs w:val="24"/>
              </w:rPr>
            </w:pPr>
            <w:r>
              <w:rPr>
                <w:rFonts w:hAnsi="ＭＳ 明朝" w:hint="eastAsia"/>
                <w:sz w:val="22"/>
                <w:szCs w:val="24"/>
              </w:rPr>
              <w:t>チェック項目</w:t>
            </w:r>
          </w:p>
        </w:tc>
        <w:tc>
          <w:tcPr>
            <w:tcW w:w="850" w:type="dxa"/>
            <w:tcBorders>
              <w:right w:val="single" w:sz="4" w:space="0" w:color="auto"/>
            </w:tcBorders>
            <w:tcMar>
              <w:left w:w="0" w:type="dxa"/>
              <w:right w:w="0" w:type="dxa"/>
            </w:tcMar>
            <w:vAlign w:val="center"/>
          </w:tcPr>
          <w:p w14:paraId="32168D89" w14:textId="77777777" w:rsidR="00590D66" w:rsidRPr="007F791D" w:rsidRDefault="00590D66" w:rsidP="00A242DD">
            <w:pPr>
              <w:jc w:val="center"/>
              <w:rPr>
                <w:rFonts w:hAnsi="ＭＳ 明朝"/>
                <w:sz w:val="22"/>
                <w:szCs w:val="24"/>
              </w:rPr>
            </w:pPr>
            <w:r>
              <w:rPr>
                <w:rFonts w:hAnsi="ＭＳ 明朝" w:hint="eastAsia"/>
                <w:sz w:val="22"/>
                <w:szCs w:val="24"/>
              </w:rPr>
              <w:t>確認</w:t>
            </w:r>
          </w:p>
        </w:tc>
      </w:tr>
      <w:tr w:rsidR="00590D66" w:rsidRPr="007F791D" w14:paraId="008D9408" w14:textId="77777777" w:rsidTr="00590D66">
        <w:trPr>
          <w:trHeight w:val="1807"/>
        </w:trPr>
        <w:tc>
          <w:tcPr>
            <w:tcW w:w="9214" w:type="dxa"/>
            <w:tcBorders>
              <w:right w:val="single" w:sz="4" w:space="0" w:color="auto"/>
            </w:tcBorders>
          </w:tcPr>
          <w:p w14:paraId="18837852" w14:textId="77777777" w:rsidR="00590D66" w:rsidRPr="00590D66" w:rsidRDefault="00590D66" w:rsidP="00590D66">
            <w:pPr>
              <w:spacing w:line="120" w:lineRule="atLeast"/>
              <w:rPr>
                <w:rFonts w:ascii="ＭＳ ゴシック" w:eastAsia="ＭＳ ゴシック" w:hAnsi="ＭＳ ゴシック"/>
              </w:rPr>
            </w:pPr>
            <w:r w:rsidRPr="00590D66">
              <w:rPr>
                <w:rFonts w:ascii="ＭＳ ゴシック" w:eastAsia="ＭＳ ゴシック" w:hAnsi="ＭＳ ゴシック" w:hint="eastAsia"/>
              </w:rPr>
              <w:t>（１）伐採の方法及び区域の設定</w:t>
            </w:r>
          </w:p>
          <w:p w14:paraId="06AB9532"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①森林所有者に対し再造林の必要性を説明しその実施に向けた意識向上を図るとともに、伐採と造林の一貫作業の導入など作業効率の向上に努める。</w:t>
            </w:r>
          </w:p>
          <w:p w14:paraId="7F874380" w14:textId="77777777" w:rsidR="00590D66" w:rsidRPr="00590D66" w:rsidRDefault="00590D66" w:rsidP="00590D66">
            <w:pPr>
              <w:spacing w:line="120" w:lineRule="atLeast"/>
              <w:ind w:leftChars="150" w:left="315"/>
              <w:rPr>
                <w:rFonts w:ascii="ＭＳ ゴシック" w:eastAsia="ＭＳ ゴシック" w:hAnsi="ＭＳ ゴシック"/>
              </w:rPr>
            </w:pPr>
            <w:r w:rsidRPr="00590D66">
              <w:rPr>
                <w:rFonts w:ascii="ＭＳ ゴシック" w:eastAsia="ＭＳ ゴシック" w:hAnsi="ＭＳ ゴシック" w:hint="eastAsia"/>
              </w:rPr>
              <w:t>②林地や生物多様性の保全に配慮した伐採方法を採用する。</w:t>
            </w:r>
          </w:p>
          <w:p w14:paraId="03358961" w14:textId="77777777" w:rsidR="00590D66" w:rsidRPr="00590D66" w:rsidRDefault="00590D66" w:rsidP="00590D66">
            <w:pPr>
              <w:spacing w:line="120" w:lineRule="atLeast"/>
              <w:ind w:leftChars="150" w:left="315"/>
              <w:rPr>
                <w:rFonts w:ascii="ＭＳ ゴシック" w:eastAsia="ＭＳ ゴシック" w:hAnsi="ＭＳ ゴシック"/>
              </w:rPr>
            </w:pPr>
            <w:r w:rsidRPr="00590D66">
              <w:rPr>
                <w:rFonts w:ascii="ＭＳ ゴシック" w:eastAsia="ＭＳ ゴシック" w:hAnsi="ＭＳ ゴシック" w:hint="eastAsia"/>
              </w:rPr>
              <w:t>③伐採する区域の明確化を行う。</w:t>
            </w:r>
          </w:p>
          <w:p w14:paraId="37E3F5BA"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④林地や生物多様性の保全に配慮し、保護樹帯や保残木を設定するとともに、それらに架線や集材路を通過させる場合は影響範囲を最小限にする。</w:t>
            </w:r>
          </w:p>
          <w:p w14:paraId="3F56AFD9" w14:textId="77777777" w:rsidR="00590D66" w:rsidRPr="00590D66" w:rsidRDefault="00590D66" w:rsidP="00590D66">
            <w:pPr>
              <w:spacing w:line="120" w:lineRule="atLeast"/>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⑤伐採が大面積にならないよう、伐採区域の複数分割、帯状・群状伐採などにより、伐採を空間的・時間的に分散させる。</w:t>
            </w:r>
          </w:p>
        </w:tc>
        <w:tc>
          <w:tcPr>
            <w:tcW w:w="850" w:type="dxa"/>
            <w:tcBorders>
              <w:right w:val="single" w:sz="4" w:space="0" w:color="auto"/>
            </w:tcBorders>
            <w:vAlign w:val="center"/>
          </w:tcPr>
          <w:p w14:paraId="7BA4E90D" w14:textId="14A64CDE" w:rsidR="00590D66" w:rsidRDefault="00AF106E" w:rsidP="00A242DD">
            <w:pPr>
              <w:widowControl/>
              <w:jc w:val="center"/>
              <w:rPr>
                <w:rFonts w:hAnsi="ＭＳ 明朝"/>
                <w:sz w:val="22"/>
                <w:szCs w:val="24"/>
              </w:rPr>
            </w:pPr>
            <w:r>
              <w:rPr>
                <w:rFonts w:hAnsi="ＭＳ 明朝" w:hint="eastAsia"/>
                <w:sz w:val="44"/>
                <w:szCs w:val="48"/>
              </w:rPr>
              <w:t>☐</w:t>
            </w:r>
          </w:p>
        </w:tc>
      </w:tr>
      <w:tr w:rsidR="00590D66" w:rsidRPr="007F791D" w14:paraId="30A4B7B1" w14:textId="77777777" w:rsidTr="00590D66">
        <w:trPr>
          <w:trHeight w:val="1550"/>
        </w:trPr>
        <w:tc>
          <w:tcPr>
            <w:tcW w:w="9214" w:type="dxa"/>
            <w:tcBorders>
              <w:right w:val="single" w:sz="4" w:space="0" w:color="auto"/>
            </w:tcBorders>
          </w:tcPr>
          <w:p w14:paraId="5274B792"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（２）林地保全に配慮した集材路</w:t>
            </w:r>
            <w:r w:rsidRPr="00590D66">
              <w:rPr>
                <w:rFonts w:ascii="ＭＳ ゴシック" w:eastAsia="ＭＳ ゴシック" w:hAnsi="ＭＳ ゴシック" w:hint="eastAsia"/>
                <w:vertAlign w:val="superscript"/>
              </w:rPr>
              <w:t>注１）</w:t>
            </w:r>
            <w:r w:rsidRPr="00590D66">
              <w:rPr>
                <w:rFonts w:ascii="ＭＳ ゴシック" w:eastAsia="ＭＳ ゴシック" w:hAnsi="ＭＳ ゴシック" w:hint="eastAsia"/>
              </w:rPr>
              <w:t>・土場の配置・作設</w:t>
            </w:r>
          </w:p>
          <w:p w14:paraId="62B32C8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①集材路・土場の作設によって土砂の流出・崩壊が発生しないよう集材方法や使用機械を選定し、集材路・土場の配置を必要最小限にする。</w:t>
            </w:r>
          </w:p>
          <w:p w14:paraId="0EBF860B"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②地形等の条件に応じて、路網と架線を適切に組み合わせる。また、集材路の作設等により林地の崩壊を引き起こすおそれがある場合等の伐採・搬出は、架線集材とする。</w:t>
            </w:r>
          </w:p>
          <w:p w14:paraId="64860F6A"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③土場の作設では法面を丸太組みで支える等の対策を講じる。</w:t>
            </w:r>
          </w:p>
          <w:p w14:paraId="060A30ED"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④現場の状況に応じて、集材路・土場の配置に係る計画の変更を行う。</w:t>
            </w:r>
          </w:p>
          <w:p w14:paraId="5003984A"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⑤集材路の線形は、極力等高線に合わせる。</w:t>
            </w:r>
          </w:p>
          <w:p w14:paraId="34F61E75"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⑥ヘアピンカーブは地盤の安定した箇所に設置する。</w:t>
            </w:r>
          </w:p>
          <w:p w14:paraId="60FB4498"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⑦集材路・土場は渓流から距離を置いて配置する。</w:t>
            </w:r>
          </w:p>
          <w:p w14:paraId="2283701C" w14:textId="77777777" w:rsidR="00590D66" w:rsidRPr="00590D66" w:rsidRDefault="00590D66" w:rsidP="00A242DD">
            <w:pPr>
              <w:ind w:leftChars="150" w:left="315"/>
              <w:rPr>
                <w:rFonts w:ascii="ＭＳ ゴシック" w:eastAsia="ＭＳ ゴシック" w:hAnsi="ＭＳ ゴシック"/>
              </w:rPr>
            </w:pPr>
            <w:r w:rsidRPr="00590D66">
              <w:rPr>
                <w:rFonts w:ascii="ＭＳ ゴシック" w:eastAsia="ＭＳ ゴシック" w:hAnsi="ＭＳ ゴシック" w:hint="eastAsia"/>
              </w:rPr>
              <w:t>⑧集材路は、沢筋を横断する箇所が少なくなるよう配置する。</w:t>
            </w:r>
          </w:p>
          <w:p w14:paraId="2770A37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⑨伐採現場の土質が粘性土の場合は、集材路・土場の作設を避ける。やむを得ず作設する場合は、土砂が渓流に流出しない工夫をする。</w:t>
            </w:r>
          </w:p>
          <w:p w14:paraId="273ABB2F"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⑩伐採区域のみで集材路の適切な配置が困難な場合には、隣接地を経由することとし、隣接地の森林所有者等と調整を行う。</w:t>
            </w:r>
          </w:p>
          <w:p w14:paraId="132BB61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⑪森林整備や木材の搬出のために継続的に用いる道を作設する場合は、森林作業道作設指針</w:t>
            </w:r>
            <w:r w:rsidRPr="00590D66">
              <w:rPr>
                <w:rFonts w:ascii="ＭＳ ゴシック" w:eastAsia="ＭＳ ゴシック" w:hAnsi="ＭＳ ゴシック" w:hint="eastAsia"/>
                <w:vertAlign w:val="superscript"/>
              </w:rPr>
              <w:t>注２）</w:t>
            </w:r>
            <w:r w:rsidRPr="00590D66">
              <w:rPr>
                <w:rFonts w:ascii="ＭＳ ゴシック" w:eastAsia="ＭＳ ゴシック" w:hAnsi="ＭＳ ゴシック" w:hint="eastAsia"/>
              </w:rPr>
              <w:t>に基づく森林作業道として作設する。</w:t>
            </w:r>
          </w:p>
          <w:p w14:paraId="0EF57D28" w14:textId="77777777" w:rsidR="00590D66" w:rsidRPr="00590D66" w:rsidRDefault="00590D66" w:rsidP="00590D66">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⑫幅員が３ｍを超える集材路又は森林作業道を作設する場合は、その面積が１h</w:t>
            </w:r>
            <w:r w:rsidRPr="00590D66">
              <w:rPr>
                <w:rFonts w:ascii="ＭＳ ゴシック" w:eastAsia="ＭＳ ゴシック" w:hAnsi="ＭＳ ゴシック"/>
              </w:rPr>
              <w:t>a</w:t>
            </w:r>
            <w:r w:rsidRPr="00590D66">
              <w:rPr>
                <w:rFonts w:ascii="ＭＳ ゴシック" w:eastAsia="ＭＳ ゴシック" w:hAnsi="ＭＳ ゴシック" w:hint="eastAsia"/>
              </w:rPr>
              <w:t>を超えていない。</w:t>
            </w:r>
          </w:p>
          <w:p w14:paraId="7ACF111D" w14:textId="77777777" w:rsidR="00590D66" w:rsidRPr="00590D66" w:rsidRDefault="00590D66" w:rsidP="00A242DD">
            <w:pPr>
              <w:ind w:leftChars="150" w:left="495" w:hangingChars="100" w:hanging="180"/>
              <w:rPr>
                <w:rFonts w:ascii="ＭＳ ゴシック" w:eastAsia="ＭＳ ゴシック" w:hAnsi="ＭＳ ゴシック"/>
                <w:sz w:val="18"/>
                <w:szCs w:val="18"/>
              </w:rPr>
            </w:pPr>
            <w:r w:rsidRPr="00590D66">
              <w:rPr>
                <w:rFonts w:ascii="ＭＳ ゴシック" w:eastAsia="ＭＳ ゴシック" w:hAnsi="ＭＳ ゴシック" w:hint="eastAsia"/>
                <w:sz w:val="18"/>
                <w:szCs w:val="18"/>
              </w:rPr>
              <w:t>注１）集材路：立木の伐採、搬出等のために林業機械等が一時的に走行することを目的として作設する仮施設（道）（森林整備のために継続的に用いる道は森林作業道として集材路と区別する）。</w:t>
            </w:r>
          </w:p>
          <w:p w14:paraId="74D07E77" w14:textId="77777777" w:rsidR="00590D66" w:rsidRPr="00590D66" w:rsidRDefault="00590D66" w:rsidP="00A242DD">
            <w:pPr>
              <w:ind w:leftChars="150" w:left="495" w:hangingChars="100" w:hanging="180"/>
              <w:rPr>
                <w:rFonts w:ascii="ＭＳ ゴシック" w:eastAsia="ＭＳ ゴシック" w:hAnsi="ＭＳ ゴシック"/>
              </w:rPr>
            </w:pPr>
            <w:r w:rsidRPr="00590D66">
              <w:rPr>
                <w:rFonts w:ascii="ＭＳ ゴシック" w:eastAsia="ＭＳ ゴシック" w:hAnsi="ＭＳ ゴシック" w:hint="eastAsia"/>
                <w:sz w:val="18"/>
                <w:szCs w:val="18"/>
              </w:rPr>
              <w:t>注２）「森林作業道作設指針の制定について」（平成</w:t>
            </w:r>
            <w:r w:rsidRPr="00590D66">
              <w:rPr>
                <w:rFonts w:ascii="ＭＳ ゴシック" w:eastAsia="ＭＳ ゴシック" w:hAnsi="ＭＳ ゴシック"/>
                <w:sz w:val="18"/>
                <w:szCs w:val="18"/>
              </w:rPr>
              <w:t>22年11</w:t>
            </w:r>
            <w:r w:rsidRPr="00590D66">
              <w:rPr>
                <w:rFonts w:ascii="ＭＳ ゴシック" w:eastAsia="ＭＳ ゴシック" w:hAnsi="ＭＳ ゴシック" w:hint="eastAsia"/>
                <w:sz w:val="18"/>
                <w:szCs w:val="18"/>
              </w:rPr>
              <w:t>月</w:t>
            </w:r>
            <w:r w:rsidRPr="00590D66">
              <w:rPr>
                <w:rFonts w:ascii="ＭＳ ゴシック" w:eastAsia="ＭＳ ゴシック" w:hAnsi="ＭＳ ゴシック"/>
                <w:sz w:val="18"/>
                <w:szCs w:val="18"/>
              </w:rPr>
              <w:t>17日付け林整整第656号林野庁</w:t>
            </w:r>
            <w:r w:rsidRPr="00590D66">
              <w:rPr>
                <w:rFonts w:ascii="ＭＳ ゴシック" w:eastAsia="ＭＳ ゴシック" w:hAnsi="ＭＳ ゴシック" w:hint="eastAsia"/>
                <w:sz w:val="18"/>
                <w:szCs w:val="18"/>
              </w:rPr>
              <w:t>長官通知）</w:t>
            </w:r>
          </w:p>
        </w:tc>
        <w:tc>
          <w:tcPr>
            <w:tcW w:w="850" w:type="dxa"/>
            <w:tcBorders>
              <w:top w:val="single" w:sz="4" w:space="0" w:color="auto"/>
              <w:left w:val="single" w:sz="4" w:space="0" w:color="auto"/>
              <w:right w:val="single" w:sz="4" w:space="0" w:color="auto"/>
            </w:tcBorders>
            <w:vAlign w:val="center"/>
          </w:tcPr>
          <w:p w14:paraId="7D90A206" w14:textId="022D942B"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40108DF4" w14:textId="77777777" w:rsidTr="00590D66">
        <w:trPr>
          <w:trHeight w:val="1553"/>
        </w:trPr>
        <w:tc>
          <w:tcPr>
            <w:tcW w:w="9214" w:type="dxa"/>
            <w:tcBorders>
              <w:right w:val="single" w:sz="4" w:space="0" w:color="auto"/>
            </w:tcBorders>
          </w:tcPr>
          <w:p w14:paraId="3A27D05A"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（３）人家、道路、取水口周辺等での配慮</w:t>
            </w:r>
          </w:p>
          <w:p w14:paraId="2470D86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①集材路・土場の作設時には保全対象の上方に丸太柵工等を設置する。特に、人家、道路等の重要な保全対象が下にある場合には、その直上では集材路・土場を作設しない。</w:t>
            </w:r>
          </w:p>
          <w:p w14:paraId="18299FE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②水道の取水口の周辺では集材路・土場を作設しない。</w:t>
            </w:r>
          </w:p>
        </w:tc>
        <w:tc>
          <w:tcPr>
            <w:tcW w:w="850" w:type="dxa"/>
            <w:tcBorders>
              <w:top w:val="single" w:sz="4" w:space="0" w:color="auto"/>
              <w:left w:val="single" w:sz="4" w:space="0" w:color="auto"/>
              <w:right w:val="single" w:sz="4" w:space="0" w:color="auto"/>
            </w:tcBorders>
            <w:vAlign w:val="center"/>
          </w:tcPr>
          <w:p w14:paraId="0FE7861C" w14:textId="0DAD76FF"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5B9AB0CB" w14:textId="77777777" w:rsidTr="00590D66">
        <w:trPr>
          <w:trHeight w:val="1233"/>
        </w:trPr>
        <w:tc>
          <w:tcPr>
            <w:tcW w:w="9214" w:type="dxa"/>
            <w:tcBorders>
              <w:right w:val="single" w:sz="4" w:space="0" w:color="auto"/>
            </w:tcBorders>
          </w:tcPr>
          <w:p w14:paraId="5622A2CE"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lastRenderedPageBreak/>
              <w:t>（４）生物多様性と景観への配慮</w:t>
            </w:r>
          </w:p>
          <w:p w14:paraId="09CC9886"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①希少な野生生物の生息・生育を知った場合には、線形及び作業の時期の変更等の対策を講じる。</w:t>
            </w:r>
          </w:p>
          <w:p w14:paraId="0903FE7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②集落、道路等からの景観に配慮した集材路・土場の配置とする。</w:t>
            </w:r>
          </w:p>
        </w:tc>
        <w:tc>
          <w:tcPr>
            <w:tcW w:w="850" w:type="dxa"/>
            <w:tcBorders>
              <w:top w:val="single" w:sz="4" w:space="0" w:color="auto"/>
              <w:left w:val="single" w:sz="4" w:space="0" w:color="auto"/>
              <w:bottom w:val="single" w:sz="4" w:space="0" w:color="auto"/>
              <w:right w:val="single" w:sz="4" w:space="0" w:color="auto"/>
            </w:tcBorders>
            <w:vAlign w:val="center"/>
          </w:tcPr>
          <w:p w14:paraId="7944B32D" w14:textId="189D9A6D"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400C7E0B" w14:textId="77777777" w:rsidTr="00590D66">
        <w:trPr>
          <w:trHeight w:val="1832"/>
        </w:trPr>
        <w:tc>
          <w:tcPr>
            <w:tcW w:w="9214" w:type="dxa"/>
            <w:tcBorders>
              <w:right w:val="single" w:sz="4" w:space="0" w:color="auto"/>
            </w:tcBorders>
          </w:tcPr>
          <w:p w14:paraId="587D47DE"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（５）切土・盛土</w:t>
            </w:r>
          </w:p>
          <w:p w14:paraId="593AED9B"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①集材路の幅及び土場の広さは作業の安全を確保できる必要最小限とする。</w:t>
            </w:r>
          </w:p>
          <w:p w14:paraId="44BA4AF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②切土高を極力低く抑える。盛土はしっかり絞め固め、必要な場合には、丸太組み工等を活用する。</w:t>
            </w:r>
          </w:p>
          <w:p w14:paraId="39DAE90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③残土が発生した場合には、渓流沿いを避け、地盤が安定した箇所に置き、必要に応じて、丸太組み工等の対策を講じる。</w:t>
            </w:r>
          </w:p>
        </w:tc>
        <w:tc>
          <w:tcPr>
            <w:tcW w:w="850" w:type="dxa"/>
            <w:tcBorders>
              <w:top w:val="single" w:sz="4" w:space="0" w:color="auto"/>
              <w:left w:val="single" w:sz="4" w:space="0" w:color="auto"/>
              <w:right w:val="single" w:sz="4" w:space="0" w:color="auto"/>
            </w:tcBorders>
            <w:vAlign w:val="center"/>
          </w:tcPr>
          <w:p w14:paraId="1E29AE32" w14:textId="269EF9BF" w:rsidR="00590D66" w:rsidRPr="00C415F9" w:rsidRDefault="00AF106E" w:rsidP="00A242DD">
            <w:pPr>
              <w:jc w:val="center"/>
              <w:rPr>
                <w:rFonts w:hAnsi="ＭＳ 明朝"/>
                <w:sz w:val="44"/>
                <w:szCs w:val="48"/>
              </w:rPr>
            </w:pPr>
            <w:r>
              <w:rPr>
                <w:rFonts w:hAnsi="ＭＳ 明朝" w:hint="eastAsia"/>
                <w:sz w:val="44"/>
                <w:szCs w:val="48"/>
              </w:rPr>
              <w:t>☐</w:t>
            </w:r>
          </w:p>
        </w:tc>
      </w:tr>
      <w:tr w:rsidR="00590D66" w:rsidRPr="007F791D" w14:paraId="69DC7CDB" w14:textId="77777777" w:rsidTr="00590D66">
        <w:trPr>
          <w:trHeight w:val="1290"/>
        </w:trPr>
        <w:tc>
          <w:tcPr>
            <w:tcW w:w="9214" w:type="dxa"/>
            <w:tcBorders>
              <w:right w:val="single" w:sz="4" w:space="0" w:color="auto"/>
            </w:tcBorders>
          </w:tcPr>
          <w:p w14:paraId="3A4C4995"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（６）路面の保護と排水の処理</w:t>
            </w:r>
          </w:p>
          <w:p w14:paraId="1BAFADF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①雨水による路面の洗堀・崩壊を避けるための対策を講じる。</w:t>
            </w:r>
          </w:p>
          <w:p w14:paraId="3DB10E6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②路面の排水は、侵食されにくい箇所でこまめに行う。崩れやすい盛土部分の崩壊等を避けるための対策を講じる。</w:t>
            </w:r>
          </w:p>
        </w:tc>
        <w:tc>
          <w:tcPr>
            <w:tcW w:w="850" w:type="dxa"/>
            <w:tcBorders>
              <w:top w:val="single" w:sz="4" w:space="0" w:color="auto"/>
              <w:left w:val="single" w:sz="4" w:space="0" w:color="auto"/>
              <w:right w:val="single" w:sz="4" w:space="0" w:color="auto"/>
            </w:tcBorders>
            <w:vAlign w:val="center"/>
          </w:tcPr>
          <w:p w14:paraId="4C8372EB" w14:textId="3AE980FD"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76736DEF" w14:textId="77777777" w:rsidTr="00590D66">
        <w:trPr>
          <w:trHeight w:val="1824"/>
        </w:trPr>
        <w:tc>
          <w:tcPr>
            <w:tcW w:w="9214" w:type="dxa"/>
            <w:tcBorders>
              <w:right w:val="single" w:sz="4" w:space="0" w:color="auto"/>
            </w:tcBorders>
          </w:tcPr>
          <w:p w14:paraId="4AAED572"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（７）渓流横断箇所の処理</w:t>
            </w:r>
          </w:p>
          <w:p w14:paraId="303F41D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渓流横断箇所においては、流水が道路等に溢れ出ないように施工、維持管理する。暗渠を用いる場合は、詰まりが生じないような対策を講じる。洗い越しとする場合は、横断箇所で集材路の路面を一段下げる。</w:t>
            </w:r>
          </w:p>
          <w:p w14:paraId="05CEB81F"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②洗い越しは、大きめの石材を路面に設置するなどにより安定させ、必要に応じて撤去する。</w:t>
            </w:r>
          </w:p>
        </w:tc>
        <w:tc>
          <w:tcPr>
            <w:tcW w:w="850" w:type="dxa"/>
            <w:tcBorders>
              <w:top w:val="single" w:sz="4" w:space="0" w:color="auto"/>
              <w:left w:val="single" w:sz="4" w:space="0" w:color="auto"/>
              <w:right w:val="single" w:sz="4" w:space="0" w:color="auto"/>
            </w:tcBorders>
            <w:vAlign w:val="center"/>
          </w:tcPr>
          <w:p w14:paraId="667A21E6" w14:textId="47E4A692"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22F5A35C" w14:textId="77777777" w:rsidTr="00590D66">
        <w:trPr>
          <w:trHeight w:val="3531"/>
        </w:trPr>
        <w:tc>
          <w:tcPr>
            <w:tcW w:w="9214" w:type="dxa"/>
            <w:tcBorders>
              <w:right w:val="single" w:sz="4" w:space="0" w:color="auto"/>
            </w:tcBorders>
          </w:tcPr>
          <w:p w14:paraId="454D73EB" w14:textId="77777777" w:rsidR="00590D66" w:rsidRPr="00590D66" w:rsidRDefault="00590D66" w:rsidP="00A242DD">
            <w:pPr>
              <w:rPr>
                <w:rFonts w:ascii="ＭＳ ゴシック" w:eastAsia="ＭＳ ゴシック" w:hAnsi="ＭＳ ゴシック"/>
              </w:rPr>
            </w:pPr>
            <w:r w:rsidRPr="00590D66">
              <w:rPr>
                <w:rFonts w:ascii="ＭＳ ゴシック" w:eastAsia="ＭＳ ゴシック" w:hAnsi="ＭＳ ゴシック" w:hint="eastAsia"/>
              </w:rPr>
              <w:t>（８）作業実行上の配慮</w:t>
            </w:r>
          </w:p>
          <w:p w14:paraId="4764CF38"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①集材路・土場は、作業が終了して次の作業まで一定期間使用しない場合には、土砂の流出を防止するため、路面に枝条を敷設する等の措置を講じる。</w:t>
            </w:r>
          </w:p>
          <w:p w14:paraId="016E70D0"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②降雨等により路盤が多量の水分を帯びている状態では通行しない。通行する場合には、丸太等の敷設などにより、路面のわだち掘れ等を防止する。</w:t>
            </w:r>
          </w:p>
          <w:p w14:paraId="04EA8A66"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③伐採現場が人家、道路等の上方に位置する場合には、伐倒木、丸太等の落下防止に最大限の注意をはらう。</w:t>
            </w:r>
          </w:p>
          <w:p w14:paraId="34CC0C53"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④伐採後の植栽作業を想定して枝条等を整理する。造林事業者が決まっている場合には、現場の後処理等の調整をする。</w:t>
            </w:r>
          </w:p>
          <w:p w14:paraId="1301A401"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⑤枝条等が渓流に流出しないように対策を講じる。</w:t>
            </w:r>
          </w:p>
          <w:p w14:paraId="40FD785E" w14:textId="77777777" w:rsidR="00590D66" w:rsidRPr="00590D66" w:rsidRDefault="00590D66" w:rsidP="00A242DD">
            <w:pPr>
              <w:ind w:leftChars="150" w:left="515" w:hangingChars="100" w:hanging="200"/>
              <w:rPr>
                <w:rFonts w:ascii="ＭＳ ゴシック" w:eastAsia="ＭＳ ゴシック" w:hAnsi="ＭＳ ゴシック"/>
              </w:rPr>
            </w:pPr>
            <w:r w:rsidRPr="00590D66">
              <w:rPr>
                <w:rFonts w:ascii="ＭＳ ゴシック" w:eastAsia="ＭＳ ゴシック" w:hAnsi="ＭＳ ゴシック" w:hint="eastAsia"/>
              </w:rPr>
              <w:t>⑥天然更新を予定している区域では、枝条等が天然更新の妨げとならないように留意する。</w:t>
            </w:r>
          </w:p>
        </w:tc>
        <w:tc>
          <w:tcPr>
            <w:tcW w:w="850" w:type="dxa"/>
            <w:tcBorders>
              <w:top w:val="single" w:sz="4" w:space="0" w:color="auto"/>
              <w:left w:val="single" w:sz="4" w:space="0" w:color="auto"/>
              <w:bottom w:val="single" w:sz="4" w:space="0" w:color="auto"/>
              <w:right w:val="single" w:sz="4" w:space="0" w:color="auto"/>
            </w:tcBorders>
            <w:vAlign w:val="center"/>
          </w:tcPr>
          <w:p w14:paraId="56FF809B" w14:textId="75E02071" w:rsidR="00590D66" w:rsidRPr="007F791D" w:rsidRDefault="00AF106E" w:rsidP="00A242DD">
            <w:pPr>
              <w:jc w:val="center"/>
              <w:rPr>
                <w:rFonts w:hAnsi="ＭＳ 明朝"/>
                <w:sz w:val="22"/>
                <w:szCs w:val="24"/>
              </w:rPr>
            </w:pPr>
            <w:r>
              <w:rPr>
                <w:rFonts w:hAnsi="ＭＳ 明朝" w:hint="eastAsia"/>
                <w:sz w:val="44"/>
                <w:szCs w:val="48"/>
              </w:rPr>
              <w:t>☐</w:t>
            </w:r>
          </w:p>
        </w:tc>
      </w:tr>
      <w:tr w:rsidR="00590D66" w:rsidRPr="007F791D" w14:paraId="2F3B2DEA" w14:textId="77777777" w:rsidTr="00590D66">
        <w:trPr>
          <w:trHeight w:val="2122"/>
        </w:trPr>
        <w:tc>
          <w:tcPr>
            <w:tcW w:w="9214" w:type="dxa"/>
            <w:tcBorders>
              <w:right w:val="single" w:sz="4" w:space="0" w:color="auto"/>
            </w:tcBorders>
          </w:tcPr>
          <w:p w14:paraId="4488CD39" w14:textId="77777777" w:rsidR="00590D66" w:rsidRPr="00590D66" w:rsidRDefault="00590D66" w:rsidP="00A242DD">
            <w:pPr>
              <w:jc w:val="left"/>
              <w:rPr>
                <w:rFonts w:ascii="ＭＳ ゴシック" w:eastAsia="ＭＳ ゴシック" w:hAnsi="ＭＳ ゴシック"/>
              </w:rPr>
            </w:pPr>
            <w:r w:rsidRPr="00590D66">
              <w:rPr>
                <w:rFonts w:ascii="ＭＳ ゴシック" w:eastAsia="ＭＳ ゴシック" w:hAnsi="ＭＳ ゴシック" w:hint="eastAsia"/>
              </w:rPr>
              <w:t>（９）事業実施後の整理</w:t>
            </w:r>
          </w:p>
          <w:p w14:paraId="4F35E484"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①枝条等は木質バイオマス資材等への有効利用を検討するとともに、枝条等を伐採現場に残す場合は、渓流に流れ出たり、林地崩壊を誘発したりすることがないように、適切な場所に整理する。</w:t>
            </w:r>
          </w:p>
          <w:p w14:paraId="618C698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②集材路・土場は植栽等により植生の回復を促す。また、溝切り等の排水処置を行う。</w:t>
            </w:r>
          </w:p>
          <w:p w14:paraId="62B853A0"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③伐採・搬出に使用した資材・燃料等は確実に整理、撤去する。</w:t>
            </w:r>
          </w:p>
          <w:p w14:paraId="546D1231" w14:textId="77777777" w:rsidR="00590D66" w:rsidRPr="00590D66" w:rsidRDefault="00590D66" w:rsidP="00A242DD">
            <w:pPr>
              <w:ind w:leftChars="150" w:left="515" w:hangingChars="100" w:hanging="200"/>
              <w:jc w:val="left"/>
              <w:rPr>
                <w:rFonts w:ascii="ＭＳ ゴシック" w:eastAsia="ＭＳ ゴシック" w:hAnsi="ＭＳ ゴシック"/>
              </w:rPr>
            </w:pPr>
            <w:r w:rsidRPr="00590D66">
              <w:rPr>
                <w:rFonts w:ascii="ＭＳ ゴシック" w:eastAsia="ＭＳ ゴシック" w:hAnsi="ＭＳ ゴシック" w:hint="eastAsia"/>
              </w:rPr>
              <w:t>④伐採現場を引き上げる前に、集材路・土場の枝条等の整理の状況を造林の権限を有する森林所有者等と確認し、必要な措置を講じる。</w:t>
            </w:r>
          </w:p>
        </w:tc>
        <w:tc>
          <w:tcPr>
            <w:tcW w:w="850" w:type="dxa"/>
            <w:tcBorders>
              <w:top w:val="single" w:sz="4" w:space="0" w:color="auto"/>
              <w:left w:val="single" w:sz="4" w:space="0" w:color="auto"/>
              <w:bottom w:val="single" w:sz="4" w:space="0" w:color="auto"/>
              <w:right w:val="single" w:sz="4" w:space="0" w:color="auto"/>
            </w:tcBorders>
            <w:vAlign w:val="center"/>
          </w:tcPr>
          <w:p w14:paraId="775FBF4F" w14:textId="63BB4546" w:rsidR="00590D66" w:rsidRDefault="00AF106E" w:rsidP="00A242DD">
            <w:pPr>
              <w:jc w:val="center"/>
              <w:rPr>
                <w:rFonts w:hAnsi="ＭＳ 明朝"/>
                <w:sz w:val="40"/>
                <w:szCs w:val="44"/>
              </w:rPr>
            </w:pPr>
            <w:r>
              <w:rPr>
                <w:rFonts w:hAnsi="ＭＳ 明朝" w:hint="eastAsia"/>
                <w:sz w:val="44"/>
                <w:szCs w:val="48"/>
              </w:rPr>
              <w:t>☐</w:t>
            </w:r>
          </w:p>
        </w:tc>
      </w:tr>
    </w:tbl>
    <w:p w14:paraId="0C5D395C" w14:textId="77777777" w:rsidR="00590D66" w:rsidRPr="005F5421" w:rsidRDefault="00590D66" w:rsidP="00590D66">
      <w:pPr>
        <w:rPr>
          <w:u w:val="single"/>
        </w:rPr>
      </w:pPr>
    </w:p>
    <w:p w14:paraId="6F6E3F9B" w14:textId="77777777" w:rsidR="00590D66" w:rsidRPr="00121523" w:rsidRDefault="00590D66" w:rsidP="00590D66"/>
    <w:p w14:paraId="738B1E8F" w14:textId="77777777" w:rsidR="000C4269" w:rsidRDefault="000C4269" w:rsidP="00590D66">
      <w:pPr>
        <w:widowControl/>
        <w:jc w:val="left"/>
      </w:pPr>
    </w:p>
    <w:sectPr w:rsidR="000C4269" w:rsidSect="00590D66">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66"/>
    <w:rsid w:val="000C4269"/>
    <w:rsid w:val="00590D66"/>
    <w:rsid w:val="006B34CE"/>
    <w:rsid w:val="007A7011"/>
    <w:rsid w:val="00AF106E"/>
    <w:rsid w:val="00CE1840"/>
    <w:rsid w:val="00E96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059CE7"/>
  <w15:chartTrackingRefBased/>
  <w15:docId w15:val="{87CF692D-D349-44E2-939C-B13D8B39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D66"/>
    <w:pPr>
      <w:widowControl w:val="0"/>
      <w:jc w:val="both"/>
    </w:pPr>
    <w:rPr>
      <w:rFonts w:ascii="ＭＳ 明朝" w:eastAsia="ＭＳ 明朝" w:hAnsi="Century" w:cs="Times New Roman"/>
    </w:rPr>
  </w:style>
  <w:style w:type="paragraph" w:styleId="2">
    <w:name w:val="heading 2"/>
    <w:basedOn w:val="a"/>
    <w:next w:val="a"/>
    <w:link w:val="20"/>
    <w:uiPriority w:val="9"/>
    <w:unhideWhenUsed/>
    <w:qFormat/>
    <w:rsid w:val="00590D66"/>
    <w:pPr>
      <w:keepNext/>
      <w:autoSpaceDE w:val="0"/>
      <w:autoSpaceDN w:val="0"/>
      <w:ind w:left="100" w:hangingChars="100" w:hanging="100"/>
      <w:jc w:val="left"/>
      <w:outlineLvl w:val="1"/>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590D66"/>
    <w:rPr>
      <w:rFonts w:ascii="Arial" w:eastAsia="ＭＳ ゴシック" w:hAnsi="Arial" w:cs="Times New Roman"/>
      <w:sz w:val="24"/>
    </w:rPr>
  </w:style>
  <w:style w:type="table" w:styleId="a3">
    <w:name w:val="Table Grid"/>
    <w:basedOn w:val="a1"/>
    <w:uiPriority w:val="39"/>
    <w:rsid w:val="00590D66"/>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590D6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90D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小酒井 菜那</cp:lastModifiedBy>
  <cp:revision>4</cp:revision>
  <dcterms:created xsi:type="dcterms:W3CDTF">2023-07-27T02:08:00Z</dcterms:created>
  <dcterms:modified xsi:type="dcterms:W3CDTF">2025-10-31T01:38:00Z</dcterms:modified>
</cp:coreProperties>
</file>