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2C3B" w14:textId="77777777" w:rsidR="00590D66" w:rsidRPr="00170FB3" w:rsidRDefault="00590D66" w:rsidP="00590D6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14:paraId="7BCAA82D" w14:textId="47FC17F8" w:rsidR="00590D66" w:rsidRPr="00606030" w:rsidRDefault="00590D66" w:rsidP="00590D66">
      <w:pPr>
        <w:spacing w:line="360" w:lineRule="auto"/>
        <w:jc w:val="right"/>
        <w:rPr>
          <w:rFonts w:ascii="ＭＳ ゴシック" w:eastAsia="ＭＳ ゴシック" w:hAnsi="ＭＳ ゴシック"/>
          <w:sz w:val="24"/>
          <w:szCs w:val="28"/>
        </w:rPr>
      </w:pPr>
      <w:r w:rsidRPr="00606030">
        <w:rPr>
          <w:rFonts w:hint="eastAsia"/>
          <w:u w:val="single"/>
        </w:rPr>
        <w:t xml:space="preserve">　</w:t>
      </w:r>
      <w:r w:rsidR="007A7011">
        <w:rPr>
          <w:rFonts w:hint="eastAsia"/>
          <w:u w:val="single"/>
        </w:rPr>
        <w:t>令和</w:t>
      </w:r>
      <w:r w:rsidR="00E969FE">
        <w:rPr>
          <w:rFonts w:hint="eastAsia"/>
          <w:u w:val="single"/>
        </w:rPr>
        <w:t xml:space="preserve">　</w:t>
      </w:r>
      <w:r w:rsidR="00AF106E">
        <w:rPr>
          <w:rFonts w:hint="eastAsia"/>
          <w:u w:val="single"/>
        </w:rPr>
        <w:t xml:space="preserve">　　</w:t>
      </w:r>
      <w:r w:rsidR="007A7011">
        <w:rPr>
          <w:rFonts w:hint="eastAsia"/>
          <w:u w:val="single"/>
        </w:rPr>
        <w:t>年</w:t>
      </w:r>
      <w:r w:rsidR="00E969FE">
        <w:rPr>
          <w:rFonts w:hint="eastAsia"/>
          <w:u w:val="single"/>
        </w:rPr>
        <w:t xml:space="preserve">　</w:t>
      </w:r>
      <w:r w:rsidR="00AF106E">
        <w:rPr>
          <w:rFonts w:hint="eastAsia"/>
          <w:u w:val="single"/>
        </w:rPr>
        <w:t xml:space="preserve">　　</w:t>
      </w:r>
      <w:r w:rsidR="007A7011">
        <w:rPr>
          <w:rFonts w:hint="eastAsia"/>
          <w:u w:val="single"/>
        </w:rPr>
        <w:t>月</w:t>
      </w:r>
      <w:r w:rsidR="00E969FE">
        <w:rPr>
          <w:rFonts w:hint="eastAsia"/>
          <w:u w:val="single"/>
        </w:rPr>
        <w:t xml:space="preserve">　</w:t>
      </w:r>
      <w:r w:rsidR="00AF106E">
        <w:rPr>
          <w:rFonts w:hint="eastAsia"/>
          <w:u w:val="single"/>
        </w:rPr>
        <w:t xml:space="preserve">　　</w:t>
      </w:r>
      <w:r w:rsidRPr="00606030">
        <w:rPr>
          <w:rFonts w:hint="eastAsia"/>
          <w:u w:val="single"/>
        </w:rPr>
        <w:t>日</w:t>
      </w:r>
    </w:p>
    <w:p w14:paraId="28A2B0E6" w14:textId="73819EEC" w:rsidR="00590D66" w:rsidRPr="00606030" w:rsidRDefault="00590D66" w:rsidP="00590D66">
      <w:pPr>
        <w:spacing w:line="360" w:lineRule="auto"/>
        <w:ind w:firstLineChars="100" w:firstLine="210"/>
        <w:rPr>
          <w:u w:val="single"/>
        </w:rPr>
      </w:pPr>
      <w:r w:rsidRPr="00606030">
        <w:rPr>
          <w:rFonts w:hint="eastAsia"/>
          <w:u w:val="single"/>
        </w:rPr>
        <w:t xml:space="preserve">伐採する者：　</w:t>
      </w:r>
      <w:r w:rsidR="00AF106E">
        <w:rPr>
          <w:rFonts w:hint="eastAsia"/>
          <w:u w:val="single"/>
        </w:rPr>
        <w:t xml:space="preserve">　　　　　　　　　　　　　　　　　　　　</w:t>
      </w:r>
      <w:r w:rsidR="00E969FE">
        <w:rPr>
          <w:rFonts w:hint="eastAsia"/>
          <w:u w:val="single"/>
        </w:rPr>
        <w:t xml:space="preserve">　　　　　　</w:t>
      </w:r>
      <w:r w:rsidR="00AF106E">
        <w:rPr>
          <w:rFonts w:hint="eastAsia"/>
          <w:u w:val="single"/>
        </w:rPr>
        <w:t xml:space="preserve">　　　</w:t>
      </w:r>
      <w:r w:rsidRPr="00606030">
        <w:rPr>
          <w:rFonts w:hint="eastAsia"/>
          <w:u w:val="single"/>
        </w:rPr>
        <w:t xml:space="preserve">　　</w:t>
      </w:r>
    </w:p>
    <w:p w14:paraId="0469266C" w14:textId="6B37A675" w:rsidR="00590D66" w:rsidRPr="005F5421" w:rsidRDefault="00590D66" w:rsidP="00590D66">
      <w:pPr>
        <w:spacing w:line="360" w:lineRule="auto"/>
        <w:ind w:firstLineChars="100" w:firstLine="210"/>
        <w:rPr>
          <w:u w:val="single"/>
        </w:rPr>
      </w:pPr>
      <w:r w:rsidRPr="00606030">
        <w:rPr>
          <w:rFonts w:hint="eastAsia"/>
          <w:u w:val="single"/>
        </w:rPr>
        <w:t xml:space="preserve">森林の所在場所：　</w:t>
      </w:r>
      <w:r w:rsidR="00AF106E">
        <w:rPr>
          <w:rFonts w:hint="eastAsia"/>
          <w:u w:val="single"/>
        </w:rPr>
        <w:t xml:space="preserve">　　　　　　　　　　　　　　　　　　　　</w:t>
      </w:r>
      <w:r w:rsidRPr="00606030">
        <w:rPr>
          <w:rFonts w:hint="eastAsia"/>
          <w:u w:val="single"/>
        </w:rPr>
        <w:t xml:space="preserve">　　</w:t>
      </w:r>
      <w:r w:rsidR="00E969FE">
        <w:rPr>
          <w:rFonts w:hint="eastAsia"/>
          <w:u w:val="single"/>
        </w:rPr>
        <w:t xml:space="preserve">　　　　　　</w:t>
      </w:r>
      <w:r w:rsidRPr="00606030">
        <w:rPr>
          <w:rFonts w:hint="eastAsia"/>
          <w:u w:val="single"/>
        </w:rPr>
        <w:t xml:space="preserve">　</w:t>
      </w:r>
    </w:p>
    <w:tbl>
      <w:tblPr>
        <w:tblStyle w:val="a3"/>
        <w:tblW w:w="10064" w:type="dxa"/>
        <w:tblInd w:w="279" w:type="dxa"/>
        <w:tblLook w:val="04A0" w:firstRow="1" w:lastRow="0" w:firstColumn="1" w:lastColumn="0" w:noHBand="0" w:noVBand="1"/>
      </w:tblPr>
      <w:tblGrid>
        <w:gridCol w:w="9214"/>
        <w:gridCol w:w="850"/>
      </w:tblGrid>
      <w:tr w:rsidR="00590D66" w:rsidRPr="007F791D" w14:paraId="2640A194" w14:textId="77777777" w:rsidTr="00590D66">
        <w:trPr>
          <w:trHeight w:val="444"/>
        </w:trPr>
        <w:tc>
          <w:tcPr>
            <w:tcW w:w="9214" w:type="dxa"/>
            <w:tcBorders>
              <w:right w:val="single" w:sz="4" w:space="0" w:color="auto"/>
            </w:tcBorders>
            <w:vAlign w:val="center"/>
          </w:tcPr>
          <w:p w14:paraId="50F3BFEB" w14:textId="77777777" w:rsidR="00590D66" w:rsidRPr="007F791D" w:rsidRDefault="00590D66" w:rsidP="00A242DD">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32168D89" w14:textId="77777777" w:rsidR="00590D66" w:rsidRPr="007F791D" w:rsidRDefault="00590D66" w:rsidP="00A242DD">
            <w:pPr>
              <w:jc w:val="center"/>
              <w:rPr>
                <w:rFonts w:hAnsi="ＭＳ 明朝"/>
                <w:sz w:val="22"/>
                <w:szCs w:val="24"/>
              </w:rPr>
            </w:pPr>
            <w:r>
              <w:rPr>
                <w:rFonts w:hAnsi="ＭＳ 明朝" w:hint="eastAsia"/>
                <w:sz w:val="22"/>
                <w:szCs w:val="24"/>
              </w:rPr>
              <w:t>確認</w:t>
            </w:r>
          </w:p>
        </w:tc>
      </w:tr>
      <w:tr w:rsidR="00590D66" w:rsidRPr="007F791D" w14:paraId="008D9408" w14:textId="77777777" w:rsidTr="00590D66">
        <w:trPr>
          <w:trHeight w:val="1807"/>
        </w:trPr>
        <w:tc>
          <w:tcPr>
            <w:tcW w:w="9214" w:type="dxa"/>
            <w:tcBorders>
              <w:right w:val="single" w:sz="4" w:space="0" w:color="auto"/>
            </w:tcBorders>
          </w:tcPr>
          <w:p w14:paraId="18837852" w14:textId="77777777" w:rsidR="00590D66" w:rsidRPr="00590D66" w:rsidRDefault="00590D66" w:rsidP="00590D66">
            <w:pPr>
              <w:spacing w:line="120" w:lineRule="atLeast"/>
              <w:rPr>
                <w:rFonts w:ascii="ＭＳ ゴシック" w:eastAsia="ＭＳ ゴシック" w:hAnsi="ＭＳ ゴシック"/>
              </w:rPr>
            </w:pPr>
            <w:r w:rsidRPr="00590D66">
              <w:rPr>
                <w:rFonts w:ascii="ＭＳ ゴシック" w:eastAsia="ＭＳ ゴシック" w:hAnsi="ＭＳ ゴシック" w:hint="eastAsia"/>
              </w:rPr>
              <w:t>（１）伐採の方法及び区域の設定</w:t>
            </w:r>
          </w:p>
          <w:p w14:paraId="06AB9532" w14:textId="77777777" w:rsidR="00590D66" w:rsidRPr="00590D66" w:rsidRDefault="00590D66" w:rsidP="00590D66">
            <w:pPr>
              <w:spacing w:line="120" w:lineRule="atLeast"/>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①森林所有者に対し再造林の必要性を説明しその実施に向けた意識向上を図るとともに、伐採と造林の一貫作業の導入など作業効率の向上に努める。</w:t>
            </w:r>
          </w:p>
          <w:p w14:paraId="7F874380" w14:textId="77777777" w:rsidR="00590D66" w:rsidRPr="00590D66" w:rsidRDefault="00590D66" w:rsidP="00590D66">
            <w:pPr>
              <w:spacing w:line="120" w:lineRule="atLeast"/>
              <w:ind w:leftChars="150" w:left="315"/>
              <w:rPr>
                <w:rFonts w:ascii="ＭＳ ゴシック" w:eastAsia="ＭＳ ゴシック" w:hAnsi="ＭＳ ゴシック"/>
              </w:rPr>
            </w:pPr>
            <w:r w:rsidRPr="00590D66">
              <w:rPr>
                <w:rFonts w:ascii="ＭＳ ゴシック" w:eastAsia="ＭＳ ゴシック" w:hAnsi="ＭＳ ゴシック" w:hint="eastAsia"/>
              </w:rPr>
              <w:t>②林地や生物多様性の保全に配慮した伐採方法を採用する。</w:t>
            </w:r>
          </w:p>
          <w:p w14:paraId="03358961" w14:textId="77777777" w:rsidR="00590D66" w:rsidRPr="00590D66" w:rsidRDefault="00590D66" w:rsidP="00590D66">
            <w:pPr>
              <w:spacing w:line="120" w:lineRule="atLeast"/>
              <w:ind w:leftChars="150" w:left="315"/>
              <w:rPr>
                <w:rFonts w:ascii="ＭＳ ゴシック" w:eastAsia="ＭＳ ゴシック" w:hAnsi="ＭＳ ゴシック"/>
              </w:rPr>
            </w:pPr>
            <w:r w:rsidRPr="00590D66">
              <w:rPr>
                <w:rFonts w:ascii="ＭＳ ゴシック" w:eastAsia="ＭＳ ゴシック" w:hAnsi="ＭＳ ゴシック" w:hint="eastAsia"/>
              </w:rPr>
              <w:t>③伐採する区域の明確化を行う。</w:t>
            </w:r>
          </w:p>
          <w:p w14:paraId="37E3F5BA" w14:textId="77777777" w:rsidR="00590D66" w:rsidRPr="00590D66" w:rsidRDefault="00590D66" w:rsidP="00590D66">
            <w:pPr>
              <w:spacing w:line="120" w:lineRule="atLeast"/>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④林地や生物多様性の保全に配慮し、保護樹帯や保残木を設定するとともに、それらに架線や集材路を通過させる場合は影響範囲を最小限にする。</w:t>
            </w:r>
          </w:p>
          <w:p w14:paraId="3F56AFD9" w14:textId="77777777" w:rsidR="00590D66" w:rsidRPr="00590D66" w:rsidRDefault="00590D66" w:rsidP="00590D66">
            <w:pPr>
              <w:spacing w:line="120" w:lineRule="atLeast"/>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⑤伐採が大面積にならないよう、伐採区域の複数分割、帯状・群状伐採などにより、伐採を空間的・時間的に分散させる。</w:t>
            </w:r>
          </w:p>
        </w:tc>
        <w:tc>
          <w:tcPr>
            <w:tcW w:w="850" w:type="dxa"/>
            <w:tcBorders>
              <w:right w:val="single" w:sz="4" w:space="0" w:color="auto"/>
            </w:tcBorders>
            <w:vAlign w:val="center"/>
          </w:tcPr>
          <w:p w14:paraId="7BA4E90D" w14:textId="14A64CDE" w:rsidR="00590D66" w:rsidRDefault="00AF106E" w:rsidP="00A242DD">
            <w:pPr>
              <w:widowControl/>
              <w:jc w:val="center"/>
              <w:rPr>
                <w:rFonts w:hAnsi="ＭＳ 明朝"/>
                <w:sz w:val="22"/>
                <w:szCs w:val="24"/>
              </w:rPr>
            </w:pPr>
            <w:r>
              <w:rPr>
                <w:rFonts w:hAnsi="ＭＳ 明朝" w:hint="eastAsia"/>
                <w:sz w:val="44"/>
                <w:szCs w:val="48"/>
              </w:rPr>
              <w:t>☐</w:t>
            </w:r>
          </w:p>
        </w:tc>
      </w:tr>
      <w:tr w:rsidR="00590D66" w:rsidRPr="007F791D" w14:paraId="30A4B7B1" w14:textId="77777777" w:rsidTr="00590D66">
        <w:trPr>
          <w:trHeight w:val="1550"/>
        </w:trPr>
        <w:tc>
          <w:tcPr>
            <w:tcW w:w="9214" w:type="dxa"/>
            <w:tcBorders>
              <w:right w:val="single" w:sz="4" w:space="0" w:color="auto"/>
            </w:tcBorders>
          </w:tcPr>
          <w:p w14:paraId="5274B792"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（２）林地保全に配慮した集材路</w:t>
            </w:r>
            <w:r w:rsidRPr="00590D66">
              <w:rPr>
                <w:rFonts w:ascii="ＭＳ ゴシック" w:eastAsia="ＭＳ ゴシック" w:hAnsi="ＭＳ ゴシック" w:hint="eastAsia"/>
                <w:vertAlign w:val="superscript"/>
              </w:rPr>
              <w:t>注１）</w:t>
            </w:r>
            <w:r w:rsidRPr="00590D66">
              <w:rPr>
                <w:rFonts w:ascii="ＭＳ ゴシック" w:eastAsia="ＭＳ ゴシック" w:hAnsi="ＭＳ ゴシック" w:hint="eastAsia"/>
              </w:rPr>
              <w:t>・土場の配置・作設</w:t>
            </w:r>
          </w:p>
          <w:p w14:paraId="62B32C8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①集材路・土場の作設によって土砂の流出・崩壊が発生しないよう集材方法や使用機械を選定し、集材路・土場の配置を必要最小限にする。</w:t>
            </w:r>
          </w:p>
          <w:p w14:paraId="0EBF860B"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②地形等の条件に応じて、路網と架線を適切に組み合わせる。また、集材路の作設等により林地の崩壊を引き起こすおそれがある場合等の伐採・搬出は、架線集材とする。</w:t>
            </w:r>
          </w:p>
          <w:p w14:paraId="64860F6A"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③土場の作設では法面を丸太組みで支える等の対策を講じる。</w:t>
            </w:r>
          </w:p>
          <w:p w14:paraId="060A30ED"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④現場の状況に応じて、集材路・土場の配置に係る計画の変更を行う。</w:t>
            </w:r>
          </w:p>
          <w:p w14:paraId="5003984A"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⑤集材路の線形は、極力等高線に合わせる。</w:t>
            </w:r>
          </w:p>
          <w:p w14:paraId="34F61E75"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⑥ヘアピンカーブは地盤の安定した箇所に設置する。</w:t>
            </w:r>
          </w:p>
          <w:p w14:paraId="60FB4498"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⑦集材路・土場は渓流から距離を置いて配置する。</w:t>
            </w:r>
          </w:p>
          <w:p w14:paraId="2283701C"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⑧集材路は、沢筋を横断する箇所が少なくなるよう配置する。</w:t>
            </w:r>
          </w:p>
          <w:p w14:paraId="2770A37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⑨伐採現場の土質が粘性土の場合は、集材路・土場の作設を避ける。やむを得ず作設する場合は、土砂が渓流に流出しない工夫をする。</w:t>
            </w:r>
          </w:p>
          <w:p w14:paraId="273ABB2F"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⑩伐採区域のみで集材路の適切な配置が困難な場合には、隣接地を経由することとし、隣接地の森林所有者等と調整を行う。</w:t>
            </w:r>
          </w:p>
          <w:p w14:paraId="132BB618"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⑪森林整備や木材の搬出のために継続的に用いる道を作設する場合は、森林作業道作設指針</w:t>
            </w:r>
            <w:r w:rsidRPr="00590D66">
              <w:rPr>
                <w:rFonts w:ascii="ＭＳ ゴシック" w:eastAsia="ＭＳ ゴシック" w:hAnsi="ＭＳ ゴシック" w:hint="eastAsia"/>
                <w:vertAlign w:val="superscript"/>
              </w:rPr>
              <w:t>注２）</w:t>
            </w:r>
            <w:r w:rsidRPr="00590D66">
              <w:rPr>
                <w:rFonts w:ascii="ＭＳ ゴシック" w:eastAsia="ＭＳ ゴシック" w:hAnsi="ＭＳ ゴシック" w:hint="eastAsia"/>
              </w:rPr>
              <w:t>に基づく森林作業道として作設する。</w:t>
            </w:r>
          </w:p>
          <w:p w14:paraId="0EF57D28" w14:textId="77777777" w:rsidR="00590D66" w:rsidRPr="00590D66" w:rsidRDefault="00590D66" w:rsidP="00590D66">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⑫幅員が３ｍを超える集材路又は森林作業道を作設する場合は、その面積が１h</w:t>
            </w:r>
            <w:r w:rsidRPr="00590D66">
              <w:rPr>
                <w:rFonts w:ascii="ＭＳ ゴシック" w:eastAsia="ＭＳ ゴシック" w:hAnsi="ＭＳ ゴシック"/>
              </w:rPr>
              <w:t>a</w:t>
            </w:r>
            <w:r w:rsidRPr="00590D66">
              <w:rPr>
                <w:rFonts w:ascii="ＭＳ ゴシック" w:eastAsia="ＭＳ ゴシック" w:hAnsi="ＭＳ ゴシック" w:hint="eastAsia"/>
              </w:rPr>
              <w:t>を超えていない。</w:t>
            </w:r>
          </w:p>
          <w:p w14:paraId="7ACF111D" w14:textId="77777777" w:rsidR="00590D66" w:rsidRPr="00590D66" w:rsidRDefault="00590D66" w:rsidP="00A242DD">
            <w:pPr>
              <w:ind w:leftChars="150" w:left="495" w:hangingChars="100" w:hanging="180"/>
              <w:rPr>
                <w:rFonts w:ascii="ＭＳ ゴシック" w:eastAsia="ＭＳ ゴシック" w:hAnsi="ＭＳ ゴシック"/>
                <w:sz w:val="18"/>
                <w:szCs w:val="18"/>
              </w:rPr>
            </w:pPr>
            <w:r w:rsidRPr="00590D66">
              <w:rPr>
                <w:rFonts w:ascii="ＭＳ ゴシック" w:eastAsia="ＭＳ ゴシック" w:hAnsi="ＭＳ ゴシック" w:hint="eastAsia"/>
                <w:sz w:val="18"/>
                <w:szCs w:val="18"/>
              </w:rPr>
              <w:t>注１）集材路：立木の伐採、搬出等のために林業機械等が一時的に走行することを目的として作設する仮施設（道）（森林整備のために継続的に用いる道は森林作業道として集材路と区別する）。</w:t>
            </w:r>
          </w:p>
          <w:p w14:paraId="74D07E77" w14:textId="77777777" w:rsidR="00590D66" w:rsidRPr="00590D66" w:rsidRDefault="00590D66" w:rsidP="00A242DD">
            <w:pPr>
              <w:ind w:leftChars="150" w:left="495" w:hangingChars="100" w:hanging="180"/>
              <w:rPr>
                <w:rFonts w:ascii="ＭＳ ゴシック" w:eastAsia="ＭＳ ゴシック" w:hAnsi="ＭＳ ゴシック"/>
              </w:rPr>
            </w:pPr>
            <w:r w:rsidRPr="00590D66">
              <w:rPr>
                <w:rFonts w:ascii="ＭＳ ゴシック" w:eastAsia="ＭＳ ゴシック" w:hAnsi="ＭＳ ゴシック" w:hint="eastAsia"/>
                <w:sz w:val="18"/>
                <w:szCs w:val="18"/>
              </w:rPr>
              <w:t>注２）「森林作業道作設指針の制定について」（平成</w:t>
            </w:r>
            <w:r w:rsidRPr="00590D66">
              <w:rPr>
                <w:rFonts w:ascii="ＭＳ ゴシック" w:eastAsia="ＭＳ ゴシック" w:hAnsi="ＭＳ ゴシック"/>
                <w:sz w:val="18"/>
                <w:szCs w:val="18"/>
              </w:rPr>
              <w:t>22年11</w:t>
            </w:r>
            <w:r w:rsidRPr="00590D66">
              <w:rPr>
                <w:rFonts w:ascii="ＭＳ ゴシック" w:eastAsia="ＭＳ ゴシック" w:hAnsi="ＭＳ ゴシック" w:hint="eastAsia"/>
                <w:sz w:val="18"/>
                <w:szCs w:val="18"/>
              </w:rPr>
              <w:t>月</w:t>
            </w:r>
            <w:r w:rsidRPr="00590D66">
              <w:rPr>
                <w:rFonts w:ascii="ＭＳ ゴシック" w:eastAsia="ＭＳ ゴシック" w:hAnsi="ＭＳ ゴシック"/>
                <w:sz w:val="18"/>
                <w:szCs w:val="18"/>
              </w:rPr>
              <w:t>17日付け林整整第656号林野庁</w:t>
            </w:r>
            <w:r w:rsidRPr="00590D66">
              <w:rPr>
                <w:rFonts w:ascii="ＭＳ ゴシック" w:eastAsia="ＭＳ ゴシック" w:hAnsi="ＭＳ ゴシック" w:hint="eastAsia"/>
                <w:sz w:val="18"/>
                <w:szCs w:val="18"/>
              </w:rPr>
              <w:t>長官通知）</w:t>
            </w:r>
          </w:p>
        </w:tc>
        <w:tc>
          <w:tcPr>
            <w:tcW w:w="850" w:type="dxa"/>
            <w:tcBorders>
              <w:top w:val="single" w:sz="4" w:space="0" w:color="auto"/>
              <w:left w:val="single" w:sz="4" w:space="0" w:color="auto"/>
              <w:right w:val="single" w:sz="4" w:space="0" w:color="auto"/>
            </w:tcBorders>
            <w:vAlign w:val="center"/>
          </w:tcPr>
          <w:p w14:paraId="7D90A206" w14:textId="022D942B"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40108DF4" w14:textId="77777777" w:rsidTr="00590D66">
        <w:trPr>
          <w:trHeight w:val="1553"/>
        </w:trPr>
        <w:tc>
          <w:tcPr>
            <w:tcW w:w="9214" w:type="dxa"/>
            <w:tcBorders>
              <w:right w:val="single" w:sz="4" w:space="0" w:color="auto"/>
            </w:tcBorders>
          </w:tcPr>
          <w:p w14:paraId="3A27D05A"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（３）人家、道路、取水口周辺等での配慮</w:t>
            </w:r>
          </w:p>
          <w:p w14:paraId="2470D86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①集材路・土場の作設時には保全対象の上方に丸太柵工等を設置する。特に、人家、道路等の重要な保全対象が下にある場合には、その直上では集材路・土場を作設しない。</w:t>
            </w:r>
          </w:p>
          <w:p w14:paraId="18299FE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②水道の取水口の周辺では集材路・土場を作設しない。</w:t>
            </w:r>
          </w:p>
        </w:tc>
        <w:tc>
          <w:tcPr>
            <w:tcW w:w="850" w:type="dxa"/>
            <w:tcBorders>
              <w:top w:val="single" w:sz="4" w:space="0" w:color="auto"/>
              <w:left w:val="single" w:sz="4" w:space="0" w:color="auto"/>
              <w:right w:val="single" w:sz="4" w:space="0" w:color="auto"/>
            </w:tcBorders>
            <w:vAlign w:val="center"/>
          </w:tcPr>
          <w:p w14:paraId="0FE7861C" w14:textId="0DAD76FF"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5B9AB0CB" w14:textId="77777777" w:rsidTr="00590D66">
        <w:trPr>
          <w:trHeight w:val="1233"/>
        </w:trPr>
        <w:tc>
          <w:tcPr>
            <w:tcW w:w="9214" w:type="dxa"/>
            <w:tcBorders>
              <w:right w:val="single" w:sz="4" w:space="0" w:color="auto"/>
            </w:tcBorders>
          </w:tcPr>
          <w:p w14:paraId="5622A2CE"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lastRenderedPageBreak/>
              <w:t>（４）生物多様性と景観への配慮</w:t>
            </w:r>
          </w:p>
          <w:p w14:paraId="09CC9886"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①希少な野生生物の生息・生育を知った場合には、線形及び作業の時期の変更等の対策を講じる。</w:t>
            </w:r>
          </w:p>
          <w:p w14:paraId="0903FE7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②集落、道路等からの景観に配慮した集材路・土場の配置とする。</w:t>
            </w:r>
          </w:p>
        </w:tc>
        <w:tc>
          <w:tcPr>
            <w:tcW w:w="850" w:type="dxa"/>
            <w:tcBorders>
              <w:top w:val="single" w:sz="4" w:space="0" w:color="auto"/>
              <w:left w:val="single" w:sz="4" w:space="0" w:color="auto"/>
              <w:bottom w:val="single" w:sz="4" w:space="0" w:color="auto"/>
              <w:right w:val="single" w:sz="4" w:space="0" w:color="auto"/>
            </w:tcBorders>
            <w:vAlign w:val="center"/>
          </w:tcPr>
          <w:p w14:paraId="7944B32D" w14:textId="189D9A6D"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400C7E0B" w14:textId="77777777" w:rsidTr="00590D66">
        <w:trPr>
          <w:trHeight w:val="1832"/>
        </w:trPr>
        <w:tc>
          <w:tcPr>
            <w:tcW w:w="9214" w:type="dxa"/>
            <w:tcBorders>
              <w:right w:val="single" w:sz="4" w:space="0" w:color="auto"/>
            </w:tcBorders>
          </w:tcPr>
          <w:p w14:paraId="587D47DE"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（５）切土・盛土</w:t>
            </w:r>
          </w:p>
          <w:p w14:paraId="593AED9B"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①集材路の幅及び土場の広さは作業の安全を確保できる必要最小限とする。</w:t>
            </w:r>
          </w:p>
          <w:p w14:paraId="44BA4AF8"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②切土高を極力低く抑える。盛土はしっかり絞め固め、必要な場合には、丸太組み工等を活用する。</w:t>
            </w:r>
          </w:p>
          <w:p w14:paraId="39DAE901"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1E29AE32" w14:textId="269EF9BF" w:rsidR="00590D66" w:rsidRPr="00C415F9" w:rsidRDefault="00AF106E" w:rsidP="00A242DD">
            <w:pPr>
              <w:jc w:val="center"/>
              <w:rPr>
                <w:rFonts w:hAnsi="ＭＳ 明朝"/>
                <w:sz w:val="44"/>
                <w:szCs w:val="48"/>
              </w:rPr>
            </w:pPr>
            <w:r>
              <w:rPr>
                <w:rFonts w:hAnsi="ＭＳ 明朝" w:hint="eastAsia"/>
                <w:sz w:val="44"/>
                <w:szCs w:val="48"/>
              </w:rPr>
              <w:t>☐</w:t>
            </w:r>
          </w:p>
        </w:tc>
      </w:tr>
      <w:tr w:rsidR="00590D66" w:rsidRPr="007F791D" w14:paraId="69DC7CDB" w14:textId="77777777" w:rsidTr="00590D66">
        <w:trPr>
          <w:trHeight w:val="1290"/>
        </w:trPr>
        <w:tc>
          <w:tcPr>
            <w:tcW w:w="9214" w:type="dxa"/>
            <w:tcBorders>
              <w:right w:val="single" w:sz="4" w:space="0" w:color="auto"/>
            </w:tcBorders>
          </w:tcPr>
          <w:p w14:paraId="3A4C4995" w14:textId="77777777" w:rsidR="00590D66" w:rsidRPr="00590D66" w:rsidRDefault="00590D66" w:rsidP="00A242DD">
            <w:pPr>
              <w:rPr>
                <w:rFonts w:ascii="ＭＳ ゴシック" w:eastAsia="ＭＳ ゴシック" w:hAnsi="ＭＳ ゴシック"/>
              </w:rPr>
            </w:pPr>
            <w:r w:rsidRPr="00590D66">
              <w:rPr>
                <w:rFonts w:ascii="ＭＳ ゴシック" w:eastAsia="ＭＳ ゴシック" w:hAnsi="ＭＳ ゴシック" w:hint="eastAsia"/>
              </w:rPr>
              <w:t>（６）路面の保護と排水の処理</w:t>
            </w:r>
          </w:p>
          <w:p w14:paraId="1BAFADF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①雨水による路面の洗堀・崩壊を避けるための対策を講じる。</w:t>
            </w:r>
          </w:p>
          <w:p w14:paraId="3DB10E6E"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②路面の排水は、侵食されにくい箇所でこまめに行う。崩れやすい盛土部分の崩壊等を避けるための対策を講じる。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4C8372EB" w14:textId="3AE980FD"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76736DEF" w14:textId="77777777" w:rsidTr="00590D66">
        <w:trPr>
          <w:trHeight w:val="1824"/>
        </w:trPr>
        <w:tc>
          <w:tcPr>
            <w:tcW w:w="9214" w:type="dxa"/>
            <w:tcBorders>
              <w:right w:val="single" w:sz="4" w:space="0" w:color="auto"/>
            </w:tcBorders>
          </w:tcPr>
          <w:p w14:paraId="4AAED572" w14:textId="77777777" w:rsidR="00590D66" w:rsidRPr="00590D66" w:rsidRDefault="00590D66" w:rsidP="00A242DD">
            <w:pPr>
              <w:rPr>
                <w:rFonts w:ascii="ＭＳ ゴシック" w:eastAsia="ＭＳ ゴシック" w:hAnsi="ＭＳ ゴシック"/>
              </w:rPr>
            </w:pPr>
            <w:r w:rsidRPr="00590D66">
              <w:rPr>
                <w:rFonts w:ascii="ＭＳ ゴシック" w:eastAsia="ＭＳ ゴシック" w:hAnsi="ＭＳ ゴシック" w:hint="eastAsia"/>
              </w:rPr>
              <w:t>（７）渓流横断箇所の処理</w:t>
            </w:r>
          </w:p>
          <w:p w14:paraId="303F41DE"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14:paraId="05CEB81F"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②洗い越しは、大きめの石材を路面に設置するなどにより安定させ、必要に応じて撤去する。</w:t>
            </w:r>
          </w:p>
        </w:tc>
        <w:tc>
          <w:tcPr>
            <w:tcW w:w="850" w:type="dxa"/>
            <w:tcBorders>
              <w:top w:val="single" w:sz="4" w:space="0" w:color="auto"/>
              <w:left w:val="single" w:sz="4" w:space="0" w:color="auto"/>
              <w:right w:val="single" w:sz="4" w:space="0" w:color="auto"/>
            </w:tcBorders>
            <w:vAlign w:val="center"/>
          </w:tcPr>
          <w:p w14:paraId="667A21E6" w14:textId="47E4A692"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22F5A35C" w14:textId="77777777" w:rsidTr="00590D66">
        <w:trPr>
          <w:trHeight w:val="3531"/>
        </w:trPr>
        <w:tc>
          <w:tcPr>
            <w:tcW w:w="9214" w:type="dxa"/>
            <w:tcBorders>
              <w:right w:val="single" w:sz="4" w:space="0" w:color="auto"/>
            </w:tcBorders>
          </w:tcPr>
          <w:p w14:paraId="454D73EB" w14:textId="77777777" w:rsidR="00590D66" w:rsidRPr="00590D66" w:rsidRDefault="00590D66" w:rsidP="00A242DD">
            <w:pPr>
              <w:rPr>
                <w:rFonts w:ascii="ＭＳ ゴシック" w:eastAsia="ＭＳ ゴシック" w:hAnsi="ＭＳ ゴシック"/>
              </w:rPr>
            </w:pPr>
            <w:r w:rsidRPr="00590D66">
              <w:rPr>
                <w:rFonts w:ascii="ＭＳ ゴシック" w:eastAsia="ＭＳ ゴシック" w:hAnsi="ＭＳ ゴシック" w:hint="eastAsia"/>
              </w:rPr>
              <w:t>（８）作業実行上の配慮</w:t>
            </w:r>
          </w:p>
          <w:p w14:paraId="4764CF38"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①集材路・土場は、作業が終了して次の作業まで一定期間使用しない場合には、土砂の流出を防止するため、路面に枝条を敷設する等の措置を講じる。</w:t>
            </w:r>
          </w:p>
          <w:p w14:paraId="016E70D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②降雨等により路盤が多量の水分を帯びている状態では通行しない。通行する場合には、丸太等の敷設などにより、路面のわだち掘れ等を防止する。</w:t>
            </w:r>
          </w:p>
          <w:p w14:paraId="04EA8A66"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③伐採現場が人家、道路等の上方に位置する場合には、伐倒木、丸太等の落下防止に最大限の注意をはらう。</w:t>
            </w:r>
          </w:p>
          <w:p w14:paraId="34CC0C5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④伐採後の植栽作業を想定して枝条等を整理する。造林事業者が決まっている場合には、現場の後処理等の調整をする。</w:t>
            </w:r>
          </w:p>
          <w:p w14:paraId="1301A401"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⑤枝条等が渓流に流出しないように対策を講じる。</w:t>
            </w:r>
          </w:p>
          <w:p w14:paraId="40FD785E"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⑥天然更新を予定している区域では、枝条等が天然更新の妨げとならないように留意する。</w:t>
            </w:r>
          </w:p>
        </w:tc>
        <w:tc>
          <w:tcPr>
            <w:tcW w:w="850" w:type="dxa"/>
            <w:tcBorders>
              <w:top w:val="single" w:sz="4" w:space="0" w:color="auto"/>
              <w:left w:val="single" w:sz="4" w:space="0" w:color="auto"/>
              <w:bottom w:val="single" w:sz="4" w:space="0" w:color="auto"/>
              <w:right w:val="single" w:sz="4" w:space="0" w:color="auto"/>
            </w:tcBorders>
            <w:vAlign w:val="center"/>
          </w:tcPr>
          <w:p w14:paraId="56FF809B" w14:textId="75E02071"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2F3B2DEA" w14:textId="77777777" w:rsidTr="00590D66">
        <w:trPr>
          <w:trHeight w:val="2122"/>
        </w:trPr>
        <w:tc>
          <w:tcPr>
            <w:tcW w:w="9214" w:type="dxa"/>
            <w:tcBorders>
              <w:right w:val="single" w:sz="4" w:space="0" w:color="auto"/>
            </w:tcBorders>
          </w:tcPr>
          <w:p w14:paraId="4488CD39"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（９）事業実施後の整理</w:t>
            </w:r>
          </w:p>
          <w:p w14:paraId="4F35E484"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①枝条等は木質バイオマス資材等への有効利用を検討するとともに、枝条等を伐採現場に残す場合は、渓流に流れ出たり、林地崩壊を誘発したりすることがないように、適切な場所に整理する。</w:t>
            </w:r>
          </w:p>
          <w:p w14:paraId="618C6981"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②集材路・土場は植栽等により植生の回復を促す。また、溝切り等の排水処置を行う。</w:t>
            </w:r>
          </w:p>
          <w:p w14:paraId="62B853A0"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③伐採・搬出に使用した資材・燃料等は確実に整理、撤去する。</w:t>
            </w:r>
          </w:p>
          <w:p w14:paraId="546D1231"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④伐採現場を引き上げる前に、集材路・土場の枝条等の整理の状況を造林の権限を有する森林所有者等と確認し、必要な措置を講じる。</w:t>
            </w:r>
          </w:p>
        </w:tc>
        <w:tc>
          <w:tcPr>
            <w:tcW w:w="850" w:type="dxa"/>
            <w:tcBorders>
              <w:top w:val="single" w:sz="4" w:space="0" w:color="auto"/>
              <w:left w:val="single" w:sz="4" w:space="0" w:color="auto"/>
              <w:bottom w:val="single" w:sz="4" w:space="0" w:color="auto"/>
              <w:right w:val="single" w:sz="4" w:space="0" w:color="auto"/>
            </w:tcBorders>
            <w:vAlign w:val="center"/>
          </w:tcPr>
          <w:p w14:paraId="775FBF4F" w14:textId="63BB4546" w:rsidR="00590D66" w:rsidRDefault="00AF106E" w:rsidP="00A242DD">
            <w:pPr>
              <w:jc w:val="center"/>
              <w:rPr>
                <w:rFonts w:hAnsi="ＭＳ 明朝"/>
                <w:sz w:val="40"/>
                <w:szCs w:val="44"/>
              </w:rPr>
            </w:pPr>
            <w:r>
              <w:rPr>
                <w:rFonts w:hAnsi="ＭＳ 明朝" w:hint="eastAsia"/>
                <w:sz w:val="44"/>
                <w:szCs w:val="48"/>
              </w:rPr>
              <w:t>☐</w:t>
            </w:r>
          </w:p>
        </w:tc>
      </w:tr>
    </w:tbl>
    <w:p w14:paraId="0C5D395C" w14:textId="77777777" w:rsidR="00590D66" w:rsidRPr="005F5421" w:rsidRDefault="00590D66" w:rsidP="00590D66">
      <w:pPr>
        <w:rPr>
          <w:u w:val="single"/>
        </w:rPr>
      </w:pPr>
    </w:p>
    <w:p w14:paraId="6F6E3F9B" w14:textId="77777777" w:rsidR="00590D66" w:rsidRPr="00121523" w:rsidRDefault="00590D66" w:rsidP="00590D66"/>
    <w:p w14:paraId="738B1E8F" w14:textId="77777777" w:rsidR="000C4269" w:rsidRDefault="000C4269" w:rsidP="00590D66">
      <w:pPr>
        <w:widowControl/>
        <w:jc w:val="left"/>
      </w:pPr>
    </w:p>
    <w:sectPr w:rsidR="000C4269" w:rsidSect="00590D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E052" w14:textId="77777777" w:rsidR="00D0210D" w:rsidRDefault="00D0210D" w:rsidP="007E62DF">
      <w:r>
        <w:separator/>
      </w:r>
    </w:p>
  </w:endnote>
  <w:endnote w:type="continuationSeparator" w:id="0">
    <w:p w14:paraId="4C05C21F" w14:textId="77777777" w:rsidR="00D0210D" w:rsidRDefault="00D0210D" w:rsidP="007E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0048" w14:textId="77777777" w:rsidR="00D0210D" w:rsidRDefault="00D0210D" w:rsidP="007E62DF">
      <w:r>
        <w:separator/>
      </w:r>
    </w:p>
  </w:footnote>
  <w:footnote w:type="continuationSeparator" w:id="0">
    <w:p w14:paraId="72AB9865" w14:textId="77777777" w:rsidR="00D0210D" w:rsidRDefault="00D0210D" w:rsidP="007E6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66"/>
    <w:rsid w:val="000C4269"/>
    <w:rsid w:val="005428F3"/>
    <w:rsid w:val="00590D66"/>
    <w:rsid w:val="006B34CE"/>
    <w:rsid w:val="007A7011"/>
    <w:rsid w:val="007E62DF"/>
    <w:rsid w:val="00AF106E"/>
    <w:rsid w:val="00CE1840"/>
    <w:rsid w:val="00D0210D"/>
    <w:rsid w:val="00E9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59CE7"/>
  <w15:chartTrackingRefBased/>
  <w15:docId w15:val="{87CF692D-D349-44E2-939C-B13D8B39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D66"/>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590D66"/>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90D66"/>
    <w:rPr>
      <w:rFonts w:ascii="Arial" w:eastAsia="ＭＳ ゴシック" w:hAnsi="Arial" w:cs="Times New Roman"/>
      <w:sz w:val="24"/>
    </w:rPr>
  </w:style>
  <w:style w:type="table" w:styleId="a3">
    <w:name w:val="Table Grid"/>
    <w:basedOn w:val="a1"/>
    <w:uiPriority w:val="39"/>
    <w:rsid w:val="00590D66"/>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90D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D66"/>
    <w:rPr>
      <w:rFonts w:asciiTheme="majorHAnsi" w:eastAsiaTheme="majorEastAsia" w:hAnsiTheme="majorHAnsi" w:cstheme="majorBidi"/>
      <w:sz w:val="18"/>
      <w:szCs w:val="18"/>
    </w:rPr>
  </w:style>
  <w:style w:type="paragraph" w:styleId="a6">
    <w:name w:val="header"/>
    <w:basedOn w:val="a"/>
    <w:link w:val="a7"/>
    <w:uiPriority w:val="99"/>
    <w:unhideWhenUsed/>
    <w:rsid w:val="007E62DF"/>
    <w:pPr>
      <w:tabs>
        <w:tab w:val="center" w:pos="4252"/>
        <w:tab w:val="right" w:pos="8504"/>
      </w:tabs>
      <w:snapToGrid w:val="0"/>
    </w:pPr>
  </w:style>
  <w:style w:type="character" w:customStyle="1" w:styleId="a7">
    <w:name w:val="ヘッダー (文字)"/>
    <w:basedOn w:val="a0"/>
    <w:link w:val="a6"/>
    <w:uiPriority w:val="99"/>
    <w:rsid w:val="007E62DF"/>
    <w:rPr>
      <w:rFonts w:ascii="ＭＳ 明朝" w:eastAsia="ＭＳ 明朝" w:hAnsi="Century" w:cs="Times New Roman"/>
    </w:rPr>
  </w:style>
  <w:style w:type="paragraph" w:styleId="a8">
    <w:name w:val="footer"/>
    <w:basedOn w:val="a"/>
    <w:link w:val="a9"/>
    <w:uiPriority w:val="99"/>
    <w:unhideWhenUsed/>
    <w:rsid w:val="007E62DF"/>
    <w:pPr>
      <w:tabs>
        <w:tab w:val="center" w:pos="4252"/>
        <w:tab w:val="right" w:pos="8504"/>
      </w:tabs>
      <w:snapToGrid w:val="0"/>
    </w:pPr>
  </w:style>
  <w:style w:type="character" w:customStyle="1" w:styleId="a9">
    <w:name w:val="フッター (文字)"/>
    <w:basedOn w:val="a0"/>
    <w:link w:val="a8"/>
    <w:uiPriority w:val="99"/>
    <w:rsid w:val="007E62DF"/>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松尾　高典</cp:lastModifiedBy>
  <cp:revision>2</cp:revision>
  <dcterms:created xsi:type="dcterms:W3CDTF">2025-11-25T07:46:00Z</dcterms:created>
  <dcterms:modified xsi:type="dcterms:W3CDTF">2025-11-25T07:46:00Z</dcterms:modified>
</cp:coreProperties>
</file>